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36" w:rsidRDefault="00C84738" w:rsidP="00701E36">
      <w:pPr>
        <w:pBdr>
          <w:bottom w:val="single" w:sz="4" w:space="1" w:color="auto"/>
        </w:pBdr>
        <w:jc w:val="center"/>
        <w:rPr>
          <w:rFonts w:cs="Sultan normal"/>
          <w:b/>
          <w:bCs/>
          <w:sz w:val="28"/>
          <w:szCs w:val="28"/>
          <w:rtl/>
          <w:lang w:bidi="ar-JO"/>
        </w:rPr>
      </w:pPr>
      <w:r w:rsidRPr="00701E36">
        <w:rPr>
          <w:rFonts w:cs="Sultan normal" w:hint="cs"/>
          <w:b/>
          <w:bCs/>
          <w:sz w:val="28"/>
          <w:szCs w:val="28"/>
          <w:rtl/>
          <w:lang w:bidi="ar-JO"/>
        </w:rPr>
        <w:t xml:space="preserve">أسس منح الموظف المتميز زيادة تشجيعية في جامعة آل البيت </w:t>
      </w:r>
    </w:p>
    <w:p w:rsidR="00BE23A7" w:rsidRPr="00701E36" w:rsidRDefault="00BE23A7" w:rsidP="00BE23A7">
      <w:pPr>
        <w:pBdr>
          <w:bottom w:val="single" w:sz="4" w:space="1" w:color="auto"/>
        </w:pBdr>
        <w:jc w:val="center"/>
        <w:rPr>
          <w:rFonts w:cs="Sultan normal"/>
          <w:b/>
          <w:bCs/>
          <w:sz w:val="28"/>
          <w:szCs w:val="28"/>
          <w:rtl/>
          <w:lang w:bidi="ar-JO"/>
        </w:rPr>
      </w:pPr>
      <w:r w:rsidRPr="00701E36">
        <w:rPr>
          <w:rFonts w:cs="Sultan normal" w:hint="cs"/>
          <w:b/>
          <w:bCs/>
          <w:sz w:val="28"/>
          <w:szCs w:val="28"/>
          <w:rtl/>
          <w:lang w:bidi="ar-JO"/>
        </w:rPr>
        <w:t>استنادا إلى نظام الموظفين رقم 153 لسنة 2003</w:t>
      </w:r>
    </w:p>
    <w:p w:rsidR="00701E36" w:rsidRPr="00701E36" w:rsidRDefault="00C84738" w:rsidP="00701E36">
      <w:pPr>
        <w:pBdr>
          <w:bottom w:val="single" w:sz="4" w:space="1" w:color="auto"/>
        </w:pBdr>
        <w:jc w:val="center"/>
        <w:rPr>
          <w:rFonts w:cs="Sultan normal"/>
          <w:b/>
          <w:bCs/>
          <w:sz w:val="28"/>
          <w:szCs w:val="28"/>
          <w:rtl/>
          <w:lang w:bidi="ar-JO"/>
        </w:rPr>
      </w:pPr>
      <w:r w:rsidRPr="00701E36">
        <w:rPr>
          <w:rFonts w:cs="Sultan normal" w:hint="cs"/>
          <w:b/>
          <w:bCs/>
          <w:sz w:val="28"/>
          <w:szCs w:val="28"/>
          <w:rtl/>
          <w:lang w:bidi="ar-JO"/>
        </w:rPr>
        <w:t xml:space="preserve">صادرة بموجب قرار مجلس العمداء </w:t>
      </w:r>
      <w:r w:rsidR="00701E36" w:rsidRPr="00701E36">
        <w:rPr>
          <w:rFonts w:cs="Sultan normal" w:hint="cs"/>
          <w:b/>
          <w:bCs/>
          <w:sz w:val="28"/>
          <w:szCs w:val="28"/>
          <w:rtl/>
          <w:lang w:bidi="ar-JO"/>
        </w:rPr>
        <w:t>رقم 162/2019/2020 تاريخ 24/12/2019م</w:t>
      </w:r>
    </w:p>
    <w:p w:rsidR="00C84738" w:rsidRPr="00701E36" w:rsidRDefault="00C84738" w:rsidP="00C84738">
      <w:pPr>
        <w:rPr>
          <w:rFonts w:cs="Sultan normal"/>
          <w:b/>
          <w:bCs/>
          <w:sz w:val="28"/>
          <w:szCs w:val="28"/>
          <w:u w:val="single"/>
          <w:rtl/>
          <w:lang w:bidi="ar-JO"/>
        </w:rPr>
      </w:pPr>
    </w:p>
    <w:p w:rsidR="00C84738" w:rsidRPr="00701E36" w:rsidRDefault="00C84738" w:rsidP="00BE23A7">
      <w:pPr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cs="Sultan normal" w:hint="cs"/>
          <w:b/>
          <w:bCs/>
          <w:sz w:val="28"/>
          <w:szCs w:val="28"/>
          <w:rtl/>
          <w:lang w:bidi="ar-JO"/>
        </w:rPr>
        <w:t>المادة (1) :</w:t>
      </w:r>
      <w:r w:rsidR="00701E36">
        <w:rPr>
          <w:rFonts w:cs="Sultan normal" w:hint="cs"/>
          <w:b/>
          <w:bCs/>
          <w:sz w:val="28"/>
          <w:szCs w:val="28"/>
          <w:rtl/>
          <w:lang w:bidi="ar-JO"/>
        </w:rPr>
        <w:t xml:space="preserve"> 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تمنح الزيادة التشجيعية  بقرار من الرئيس بناءً على </w:t>
      </w:r>
      <w:proofErr w:type="spellStart"/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تنسيب</w:t>
      </w:r>
      <w:proofErr w:type="spellEnd"/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من العميد أو المدير المختص.</w:t>
      </w:r>
    </w:p>
    <w:p w:rsidR="00C84738" w:rsidRPr="00701E36" w:rsidRDefault="00C84738" w:rsidP="00BE23A7">
      <w:pPr>
        <w:ind w:left="684" w:hanging="730"/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المادة (2) :</w:t>
      </w:r>
      <w:r w:rsid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لا يعطى الموظف أكثر من زيادة تشجيعية واحدة في الدرجة الواحدة وتمنح عند </w:t>
      </w:r>
      <w:r w:rsidR="00415287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استحقاقه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للزيادة السنوية</w:t>
      </w:r>
      <w:r w:rsid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.</w:t>
      </w:r>
    </w:p>
    <w:p w:rsidR="00C84738" w:rsidRPr="00701E36" w:rsidRDefault="00C84738" w:rsidP="00BE23A7">
      <w:pPr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المادة (3) : أن لا تؤدي الزيادة التشجيعية إلى </w:t>
      </w:r>
      <w:proofErr w:type="spellStart"/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ترفيع</w:t>
      </w:r>
      <w:proofErr w:type="spellEnd"/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الموظف من درجة إلى درجة أو من فئة إلى أخرى</w:t>
      </w:r>
      <w:r w:rsidR="00BE23A7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.</w:t>
      </w:r>
    </w:p>
    <w:p w:rsidR="00C84738" w:rsidRPr="00701E36" w:rsidRDefault="00C84738" w:rsidP="00BE23A7">
      <w:pPr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المادة (4) :</w:t>
      </w:r>
      <w:r w:rsid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أن لا تقل خدمة الموظف عن خمسة سنوات متصلة</w:t>
      </w:r>
      <w:r w:rsidR="00BE23A7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.</w:t>
      </w:r>
    </w:p>
    <w:p w:rsidR="00C84738" w:rsidRPr="00701E36" w:rsidRDefault="00C84738" w:rsidP="00BE23A7">
      <w:pPr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المادة ( 5) : أن لا تقل التقارير السنوية للتقويم لآخر أربع سنوات السابقة لتاريخ </w:t>
      </w:r>
      <w:r w:rsidR="00701E36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الاستحقاق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عن جيد جداً.</w:t>
      </w:r>
    </w:p>
    <w:p w:rsidR="00C84738" w:rsidRPr="00701E36" w:rsidRDefault="00C84738" w:rsidP="00BE23A7">
      <w:pPr>
        <w:ind w:left="684" w:hanging="730"/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المادة (6) : أن لا يكون قد أوقعت بحقه عقوبة تأديبية خلال السنوات 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الأربع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السابقة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لتاريخ </w:t>
      </w:r>
      <w:r w:rsidR="00701E36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استحقاق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الزيادة التشجيعية.</w:t>
      </w:r>
    </w:p>
    <w:p w:rsidR="00415287" w:rsidRPr="00701E36" w:rsidRDefault="00C84738" w:rsidP="00BE23A7">
      <w:pPr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المادة (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7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) : </w:t>
      </w:r>
      <w:r w:rsidR="00415287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يوضع اسم الموظف وصورته وتاريخ منح </w:t>
      </w:r>
      <w:r w:rsidR="00701E36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الجائزة</w:t>
      </w:r>
      <w:r w:rsid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على لوحة شرف خاصة بالدائرة.</w:t>
      </w:r>
    </w:p>
    <w:p w:rsidR="0020662D" w:rsidRPr="00701E36" w:rsidRDefault="00C84738" w:rsidP="00BE23A7">
      <w:pPr>
        <w:ind w:left="684" w:hanging="730"/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المادة (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8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) :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يقوم العميد أو المدير المختص في شهر كانون الثاني  من كل عام بإجراء مفاضلة بين الموظفين</w:t>
      </w:r>
      <w:bookmarkStart w:id="0" w:name="_GoBack"/>
      <w:bookmarkEnd w:id="0"/>
      <w:r w:rsid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ويقدم اسم المرشح للزيادة التشجيعية  مشفوعا بتقرير تفصيلي وفقاً للمعايير وأداة القياس المحددة بالنموذج المرفق</w:t>
      </w:r>
      <w:r w:rsid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.</w:t>
      </w:r>
    </w:p>
    <w:p w:rsidR="0020662D" w:rsidRPr="00701E36" w:rsidRDefault="00C84738" w:rsidP="00BE23A7">
      <w:pPr>
        <w:ind w:left="1088" w:hanging="1088"/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المادة (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9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) :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أن يكون متميزاً في عمله وخلقه وتعاونه وأثبت كفاءة وتميزاً عالياً في عمله وقدم خططاً ومقترحات لتطوير العمل، وفقاً للمعايير وأداة القياس المحددة بالنموذج المرفق</w:t>
      </w:r>
      <w:r w:rsid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.</w:t>
      </w:r>
    </w:p>
    <w:p w:rsidR="00C84738" w:rsidRPr="00701E36" w:rsidRDefault="00C84738" w:rsidP="00BE23A7">
      <w:pPr>
        <w:ind w:left="1229" w:hanging="1229"/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المادة (</w:t>
      </w:r>
      <w:r w:rsidR="0020662D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10</w:t>
      </w: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) : </w:t>
      </w:r>
      <w:r w:rsidR="00415287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للرئيس تشكيل لجنة لدراسة </w:t>
      </w:r>
      <w:proofErr w:type="spellStart"/>
      <w:r w:rsidR="00415287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تنسيب</w:t>
      </w:r>
      <w:proofErr w:type="spellEnd"/>
      <w:r w:rsidR="00415287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العميد أو المدير المختص والتوصية للرئيس بناءً على </w:t>
      </w:r>
      <w:r w:rsidR="002E58EF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الأسس</w:t>
      </w:r>
      <w:r w:rsidR="00415287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أعلاه.</w:t>
      </w:r>
    </w:p>
    <w:p w:rsidR="00592B7E" w:rsidRPr="00701E36" w:rsidRDefault="00592B7E" w:rsidP="00BE23A7">
      <w:pPr>
        <w:jc w:val="both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  <w:r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المادة (11) : يبت مجلس العمداء في الحالات التي لم يرد فيها نص</w:t>
      </w:r>
      <w:r w:rsidR="002E58EF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 xml:space="preserve"> في هذه الأسس</w:t>
      </w:r>
      <w:r w:rsidR="004A058F" w:rsidRPr="00701E36">
        <w:rPr>
          <w:rFonts w:ascii="Helvetica" w:hAnsi="Helvetica" w:cs="Sultan normal" w:hint="cs"/>
          <w:b/>
          <w:bCs/>
          <w:color w:val="000000"/>
          <w:sz w:val="26"/>
          <w:szCs w:val="26"/>
          <w:rtl/>
          <w:lang w:bidi="ar-JO"/>
        </w:rPr>
        <w:t>.</w:t>
      </w:r>
    </w:p>
    <w:p w:rsidR="00592B7E" w:rsidRDefault="00592B7E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lang w:bidi="ar-JO"/>
        </w:rPr>
      </w:pPr>
    </w:p>
    <w:p w:rsidR="00D94385" w:rsidRDefault="00D94385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lang w:bidi="ar-JO"/>
        </w:rPr>
      </w:pPr>
    </w:p>
    <w:p w:rsidR="00D94385" w:rsidRDefault="00D94385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lang w:bidi="ar-JO"/>
        </w:rPr>
      </w:pPr>
    </w:p>
    <w:p w:rsidR="00D94385" w:rsidRDefault="00D94385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lang w:bidi="ar-JO"/>
        </w:rPr>
      </w:pPr>
    </w:p>
    <w:p w:rsidR="00D94385" w:rsidRDefault="00D94385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lang w:bidi="ar-JO"/>
        </w:rPr>
      </w:pPr>
    </w:p>
    <w:p w:rsidR="00D94385" w:rsidRDefault="00D94385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lang w:bidi="ar-JO"/>
        </w:rPr>
      </w:pPr>
    </w:p>
    <w:p w:rsidR="00D94385" w:rsidRDefault="00D94385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lang w:bidi="ar-JO"/>
        </w:rPr>
      </w:pPr>
    </w:p>
    <w:tbl>
      <w:tblPr>
        <w:tblpPr w:leftFromText="180" w:rightFromText="180" w:horzAnchor="margin" w:tblpY="559"/>
        <w:bidiVisual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3120"/>
        <w:gridCol w:w="708"/>
        <w:gridCol w:w="993"/>
        <w:gridCol w:w="708"/>
        <w:gridCol w:w="851"/>
        <w:gridCol w:w="850"/>
        <w:gridCol w:w="993"/>
      </w:tblGrid>
      <w:tr w:rsidR="00D94385" w:rsidRPr="004947EB" w:rsidTr="004732D1">
        <w:tc>
          <w:tcPr>
            <w:tcW w:w="1559" w:type="dxa"/>
            <w:vMerge w:val="restart"/>
          </w:tcPr>
          <w:p w:rsidR="00D94385" w:rsidRPr="004947EB" w:rsidRDefault="00D94385" w:rsidP="004732D1">
            <w:pPr>
              <w:jc w:val="center"/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المعيار</w:t>
            </w:r>
          </w:p>
        </w:tc>
        <w:tc>
          <w:tcPr>
            <w:tcW w:w="3120" w:type="dxa"/>
            <w:vMerge w:val="restart"/>
          </w:tcPr>
          <w:p w:rsidR="00D94385" w:rsidRPr="004947EB" w:rsidRDefault="00D94385" w:rsidP="004732D1">
            <w:pPr>
              <w:jc w:val="center"/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مؤشر الأداء</w:t>
            </w:r>
          </w:p>
          <w:p w:rsidR="00D94385" w:rsidRPr="004947EB" w:rsidRDefault="00D94385" w:rsidP="004732D1">
            <w:pPr>
              <w:jc w:val="center"/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103" w:type="dxa"/>
            <w:gridSpan w:val="6"/>
          </w:tcPr>
          <w:p w:rsidR="00D94385" w:rsidRPr="004947EB" w:rsidRDefault="00D94385" w:rsidP="004732D1">
            <w:pPr>
              <w:jc w:val="center"/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مستوى الأداء</w:t>
            </w: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ممتاز</w:t>
            </w:r>
            <w:r w:rsidRPr="004947EB">
              <w:rPr>
                <w:rFonts w:ascii="Traditional Arabic" w:hAnsi="Traditional Arabic" w:cs="Sultan normal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جيد جداً</w:t>
            </w:r>
            <w:r w:rsidRPr="004947EB">
              <w:rPr>
                <w:rFonts w:ascii="Traditional Arabic" w:hAnsi="Traditional Arabic" w:cs="Sultan normal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جيد</w:t>
            </w:r>
            <w:r w:rsidRPr="004947EB">
              <w:rPr>
                <w:rFonts w:ascii="Traditional Arabic" w:hAnsi="Traditional Arabic" w:cs="Sultan normal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مقبول</w:t>
            </w:r>
            <w:r w:rsidRPr="004947EB">
              <w:rPr>
                <w:rFonts w:ascii="Traditional Arabic" w:hAnsi="Traditional Arabic" w:cs="Sultan normal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ضعيف</w:t>
            </w:r>
            <w:r w:rsidRPr="004947EB">
              <w:rPr>
                <w:rFonts w:ascii="Traditional Arabic" w:hAnsi="Traditional Arabic" w:cs="Sultan normal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sz w:val="20"/>
                <w:szCs w:val="20"/>
                <w:rtl/>
                <w:lang w:bidi="ar-JO"/>
              </w:rPr>
              <w:t>غير مطلوب</w:t>
            </w:r>
          </w:p>
        </w:tc>
      </w:tr>
      <w:tr w:rsidR="00D94385" w:rsidRPr="004947EB" w:rsidTr="004732D1">
        <w:tc>
          <w:tcPr>
            <w:tcW w:w="1559" w:type="dxa"/>
            <w:vMerge w:val="restart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المعيار الأول:</w:t>
            </w:r>
          </w:p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الأداء الوظيفي</w:t>
            </w:r>
          </w:p>
        </w:tc>
        <w:tc>
          <w:tcPr>
            <w:tcW w:w="312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الدقة في الإنجاز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360" w:hanging="288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 xml:space="preserve">إدارة وقت العمل بكفاءة 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360" w:hanging="288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الالتزام التام  بالعمل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360" w:hanging="288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 xml:space="preserve">استثمار الموارد المتاحة بفعالية 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34" w:hanging="5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اتخاذ القرارات  في الإشكاليات المتعلقة بالعمل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34" w:firstLine="38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 w:hint="cs"/>
                <w:color w:val="000000"/>
                <w:sz w:val="20"/>
                <w:szCs w:val="20"/>
                <w:rtl/>
                <w:lang w:bidi="ar-JO"/>
              </w:rPr>
              <w:t>استثمار</w:t>
            </w: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 xml:space="preserve"> التغذية الراجعة من تقييم الأداء الوظيفي</w:t>
            </w:r>
            <w:r w:rsidRPr="004947EB">
              <w:rPr>
                <w:rFonts w:ascii="Traditional Arabic" w:hAnsi="Traditional Arabic" w:cs="Sultan normal" w:hint="cs"/>
                <w:color w:val="000000"/>
                <w:sz w:val="20"/>
                <w:szCs w:val="20"/>
                <w:rtl/>
                <w:lang w:bidi="ar-JO"/>
              </w:rPr>
              <w:t xml:space="preserve"> في تحسين مستوى الأداء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 w:val="restart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المعيار الثاني  المهارات والقدرات</w:t>
            </w: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72"/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القدرة على التخطيط لتطوير مستوى أدائه.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34" w:firstLine="38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القدرة على تقويم مستوى أداء الآخرين.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72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القدرة على إجراء البحوث الإجرائية لتحسين الأداء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 w:val="restart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المعيار الثالث: التعامل مع الآخرين</w:t>
            </w:r>
          </w:p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 w:hint="cs"/>
                <w:color w:val="000000"/>
                <w:sz w:val="20"/>
                <w:szCs w:val="20"/>
                <w:rtl/>
                <w:lang w:bidi="ar-JO"/>
              </w:rPr>
              <w:t>احترام</w:t>
            </w: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 xml:space="preserve"> الآخرين التعامل مع الآخرين </w:t>
            </w:r>
            <w:r w:rsidRPr="004947EB">
              <w:rPr>
                <w:rFonts w:ascii="Traditional Arabic" w:hAnsi="Traditional Arabic" w:cs="Sultan normal" w:hint="cs"/>
                <w:color w:val="000000"/>
                <w:sz w:val="20"/>
                <w:szCs w:val="20"/>
                <w:rtl/>
                <w:lang w:bidi="ar-JO"/>
              </w:rPr>
              <w:t>باحترام</w:t>
            </w: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 xml:space="preserve"> وكياسة.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72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الاستفادة من خبرات الزملاء في تطوير أدائه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72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تقديم الدعم والمساعدة لتطوير أداء الآخرين.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ind w:left="72"/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العمل التعاوني ضمن الفريق الواحد.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 w:val="restart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المعيار الرابع: المبادأة والإبداع والابتكار </w:t>
            </w:r>
          </w:p>
        </w:tc>
        <w:tc>
          <w:tcPr>
            <w:tcW w:w="312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تقديم مبادرات إبداعية واقعيه  قابلة للتطوير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المبادأة  في القيام بالمهام والأعمال لتطوير مستوى الأداء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rPr>
          <w:trHeight w:val="201"/>
        </w:trPr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color w:val="000000"/>
                <w:sz w:val="20"/>
                <w:szCs w:val="20"/>
                <w:rtl/>
                <w:lang w:bidi="ar-JO"/>
              </w:rPr>
              <w:t>القدرة على توفير بيئة حاضنة للإبداع.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 w:val="restart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المعيار الخامس:</w:t>
            </w:r>
          </w:p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  <w:t>أخلاقيات العمل:</w:t>
            </w:r>
          </w:p>
          <w:p w:rsidR="00D94385" w:rsidRPr="004947EB" w:rsidRDefault="00D94385" w:rsidP="004732D1">
            <w:pPr>
              <w:rPr>
                <w:rFonts w:ascii="Traditional Arabic" w:hAnsi="Traditional Arabic" w:cs="Sultan norm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pStyle w:val="CommentText"/>
              <w:rPr>
                <w:rFonts w:ascii="Traditional Arabic" w:hAnsi="Traditional Arabic" w:cs="Sultan normal"/>
                <w:rtl/>
              </w:rPr>
            </w:pPr>
            <w:r w:rsidRPr="004947EB">
              <w:rPr>
                <w:rFonts w:ascii="Traditional Arabic" w:hAnsi="Traditional Arabic" w:cs="Sultan normal"/>
                <w:rtl/>
              </w:rPr>
              <w:t>المحافظة على ممتلكات الجامعة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pStyle w:val="CommentText"/>
              <w:rPr>
                <w:rFonts w:ascii="Traditional Arabic" w:hAnsi="Traditional Arabic" w:cs="Sultan normal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rtl/>
              </w:rPr>
              <w:t>المحافظة على سرية العمل.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</w:rPr>
            </w:pPr>
            <w:r w:rsidRPr="004947EB">
              <w:rPr>
                <w:rFonts w:ascii="Traditional Arabic" w:hAnsi="Traditional Arabic" w:cs="Sultan normal"/>
                <w:sz w:val="20"/>
                <w:szCs w:val="20"/>
                <w:rtl/>
              </w:rPr>
              <w:t>احترام آراء الزملاء في العمل.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sz w:val="20"/>
                <w:szCs w:val="20"/>
                <w:rtl/>
                <w:lang w:bidi="ar-JO"/>
              </w:rPr>
            </w:pPr>
          </w:p>
        </w:tc>
      </w:tr>
      <w:tr w:rsidR="00D94385" w:rsidRPr="004947EB" w:rsidTr="004732D1">
        <w:tc>
          <w:tcPr>
            <w:tcW w:w="1559" w:type="dxa"/>
            <w:vMerge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rtl/>
                <w:lang w:bidi="ar-JO"/>
              </w:rPr>
            </w:pPr>
          </w:p>
        </w:tc>
        <w:tc>
          <w:tcPr>
            <w:tcW w:w="3120" w:type="dxa"/>
          </w:tcPr>
          <w:p w:rsidR="00D94385" w:rsidRPr="004947EB" w:rsidRDefault="00D94385" w:rsidP="004732D1">
            <w:pPr>
              <w:pStyle w:val="CommentText"/>
              <w:rPr>
                <w:rFonts w:ascii="Traditional Arabic" w:hAnsi="Traditional Arabic" w:cs="Sultan normal"/>
                <w:sz w:val="24"/>
                <w:szCs w:val="24"/>
                <w:rtl/>
                <w:lang w:bidi="ar-JO"/>
              </w:rPr>
            </w:pPr>
            <w:r w:rsidRPr="004947EB">
              <w:rPr>
                <w:rFonts w:ascii="Traditional Arabic" w:hAnsi="Traditional Arabic" w:cs="Sultan normal"/>
                <w:sz w:val="24"/>
                <w:szCs w:val="24"/>
                <w:rtl/>
              </w:rPr>
              <w:t>تخصيص وقت الدوام الرسمي للعمل المتصل بالجامعة.</w:t>
            </w: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rtl/>
                <w:lang w:bidi="ar-JO"/>
              </w:rPr>
            </w:pPr>
          </w:p>
        </w:tc>
        <w:tc>
          <w:tcPr>
            <w:tcW w:w="708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rtl/>
                <w:lang w:bidi="ar-JO"/>
              </w:rPr>
            </w:pPr>
          </w:p>
        </w:tc>
        <w:tc>
          <w:tcPr>
            <w:tcW w:w="851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rtl/>
                <w:lang w:bidi="ar-JO"/>
              </w:rPr>
            </w:pPr>
          </w:p>
        </w:tc>
        <w:tc>
          <w:tcPr>
            <w:tcW w:w="850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rtl/>
                <w:lang w:bidi="ar-JO"/>
              </w:rPr>
            </w:pPr>
          </w:p>
        </w:tc>
        <w:tc>
          <w:tcPr>
            <w:tcW w:w="993" w:type="dxa"/>
          </w:tcPr>
          <w:p w:rsidR="00D94385" w:rsidRPr="004947EB" w:rsidRDefault="00D94385" w:rsidP="004732D1">
            <w:pPr>
              <w:rPr>
                <w:rFonts w:ascii="Traditional Arabic" w:hAnsi="Traditional Arabic" w:cs="Sultan normal"/>
                <w:rtl/>
                <w:lang w:bidi="ar-JO"/>
              </w:rPr>
            </w:pPr>
          </w:p>
        </w:tc>
      </w:tr>
    </w:tbl>
    <w:p w:rsidR="00D94385" w:rsidRPr="004947EB" w:rsidRDefault="00D94385" w:rsidP="00D94385">
      <w:pPr>
        <w:jc w:val="center"/>
        <w:rPr>
          <w:rFonts w:ascii="Simplified Arabic" w:hAnsi="Simplified Arabic" w:cs="Sultan normal"/>
          <w:b/>
          <w:bCs/>
          <w:rtl/>
          <w:lang w:bidi="ar-JO"/>
        </w:rPr>
      </w:pPr>
      <w:proofErr w:type="spellStart"/>
      <w:r w:rsidRPr="004947EB">
        <w:rPr>
          <w:rFonts w:ascii="Simplified Arabic" w:hAnsi="Simplified Arabic" w:cs="Sultan normal" w:hint="cs"/>
          <w:b/>
          <w:bCs/>
          <w:rtl/>
          <w:lang w:bidi="ar-JO"/>
        </w:rPr>
        <w:t>استبانة</w:t>
      </w:r>
      <w:proofErr w:type="spellEnd"/>
      <w:r w:rsidRPr="004947EB">
        <w:rPr>
          <w:rFonts w:ascii="Simplified Arabic" w:hAnsi="Simplified Arabic" w:cs="Sultan normal" w:hint="cs"/>
          <w:b/>
          <w:bCs/>
          <w:rtl/>
          <w:lang w:bidi="ar-JO"/>
        </w:rPr>
        <w:t xml:space="preserve"> تقييم مستوى أداء الموظف المتميز بجامعة آل البيت 2019/2020م</w:t>
      </w:r>
    </w:p>
    <w:p w:rsidR="00D94385" w:rsidRDefault="00D94385" w:rsidP="00D94385">
      <w:pPr>
        <w:jc w:val="center"/>
        <w:rPr>
          <w:rFonts w:ascii="Simplified Arabic" w:hAnsi="Simplified Arabic" w:cs="Sultan normal"/>
          <w:rtl/>
          <w:lang w:bidi="ar-JO"/>
        </w:rPr>
      </w:pPr>
    </w:p>
    <w:p w:rsidR="00D94385" w:rsidRPr="004947EB" w:rsidRDefault="00D94385" w:rsidP="00D94385">
      <w:pPr>
        <w:jc w:val="center"/>
        <w:rPr>
          <w:rFonts w:ascii="Simplified Arabic" w:hAnsi="Simplified Arabic" w:cs="Sultan normal"/>
          <w:rtl/>
          <w:lang w:bidi="ar-JO"/>
        </w:rPr>
      </w:pPr>
      <w:r w:rsidRPr="004947EB">
        <w:rPr>
          <w:rFonts w:ascii="Simplified Arabic" w:hAnsi="Simplified Arabic" w:cs="Sultan normal" w:hint="cs"/>
          <w:rtl/>
          <w:lang w:bidi="ar-JO"/>
        </w:rPr>
        <w:t xml:space="preserve">( العلامة القصوى على </w:t>
      </w:r>
      <w:proofErr w:type="spellStart"/>
      <w:r w:rsidRPr="004947EB">
        <w:rPr>
          <w:rFonts w:ascii="Simplified Arabic" w:hAnsi="Simplified Arabic" w:cs="Sultan normal" w:hint="cs"/>
          <w:rtl/>
          <w:lang w:bidi="ar-JO"/>
        </w:rPr>
        <w:t>الاستبانة</w:t>
      </w:r>
      <w:proofErr w:type="spellEnd"/>
      <w:r w:rsidRPr="004947EB">
        <w:rPr>
          <w:rFonts w:ascii="Simplified Arabic" w:hAnsi="Simplified Arabic" w:cs="Sultan normal" w:hint="cs"/>
          <w:rtl/>
          <w:lang w:bidi="ar-JO"/>
        </w:rPr>
        <w:t xml:space="preserve"> =100، والعلامة الدنيا = 20)</w:t>
      </w:r>
    </w:p>
    <w:p w:rsidR="00D94385" w:rsidRPr="004947EB" w:rsidRDefault="00D94385" w:rsidP="00D94385">
      <w:pPr>
        <w:jc w:val="center"/>
        <w:rPr>
          <w:rFonts w:ascii="Simplified Arabic" w:hAnsi="Simplified Arabic" w:cs="Sultan normal"/>
          <w:rtl/>
          <w:lang w:bidi="ar-JO"/>
        </w:rPr>
      </w:pPr>
      <w:r w:rsidRPr="004947EB">
        <w:rPr>
          <w:rFonts w:ascii="Simplified Arabic" w:hAnsi="Simplified Arabic" w:cs="Sultan normal" w:hint="cs"/>
          <w:rtl/>
          <w:lang w:bidi="ar-JO"/>
        </w:rPr>
        <w:t>(العلامة القصوى عند وجود فقرات غير مطلوبة= 100- عدد الفقرات غير المطلوبة</w:t>
      </w:r>
      <w:r w:rsidRPr="004947EB">
        <w:rPr>
          <w:rFonts w:ascii="Simplified Arabic" w:hAnsi="Simplified Arabic" w:cs="Sultan normal"/>
          <w:lang w:bidi="ar-JO"/>
        </w:rPr>
        <w:t>X</w:t>
      </w:r>
      <w:r w:rsidRPr="004947EB">
        <w:rPr>
          <w:rFonts w:ascii="Simplified Arabic" w:hAnsi="Simplified Arabic" w:cs="Sultan normal" w:hint="cs"/>
          <w:rtl/>
          <w:lang w:bidi="ar-JO"/>
        </w:rPr>
        <w:t>5)</w:t>
      </w:r>
    </w:p>
    <w:p w:rsidR="00D94385" w:rsidRPr="004947EB" w:rsidRDefault="00D94385" w:rsidP="00D94385">
      <w:pPr>
        <w:jc w:val="center"/>
        <w:rPr>
          <w:rFonts w:ascii="Simplified Arabic" w:hAnsi="Simplified Arabic" w:cs="Sultan normal"/>
          <w:rtl/>
          <w:lang w:bidi="ar-JO"/>
        </w:rPr>
      </w:pPr>
      <w:r w:rsidRPr="004947EB">
        <w:rPr>
          <w:rFonts w:ascii="Simplified Arabic" w:hAnsi="Simplified Arabic" w:cs="Sultan normal" w:hint="cs"/>
          <w:rtl/>
          <w:lang w:bidi="ar-JO"/>
        </w:rPr>
        <w:t>( العلامة الدنيا عند وجود فقرات غير مطلوبة=20- عدد الفقرات غير المطلوبة</w:t>
      </w:r>
      <w:r w:rsidRPr="004947EB">
        <w:rPr>
          <w:rFonts w:ascii="Simplified Arabic" w:hAnsi="Simplified Arabic" w:cs="Sultan normal"/>
          <w:lang w:bidi="ar-JO"/>
        </w:rPr>
        <w:t>X</w:t>
      </w:r>
      <w:r w:rsidRPr="004947EB">
        <w:rPr>
          <w:rFonts w:ascii="Simplified Arabic" w:hAnsi="Simplified Arabic" w:cs="Sultan normal" w:hint="cs"/>
          <w:rtl/>
          <w:lang w:bidi="ar-JO"/>
        </w:rPr>
        <w:t>1)</w:t>
      </w:r>
    </w:p>
    <w:p w:rsidR="00D94385" w:rsidRPr="00701E36" w:rsidRDefault="00D94385" w:rsidP="00415287">
      <w:pPr>
        <w:ind w:left="1229" w:hanging="1229"/>
        <w:rPr>
          <w:rFonts w:ascii="Helvetica" w:hAnsi="Helvetica" w:cs="Sultan normal"/>
          <w:b/>
          <w:bCs/>
          <w:color w:val="000000"/>
          <w:sz w:val="26"/>
          <w:szCs w:val="26"/>
          <w:rtl/>
          <w:lang w:bidi="ar-JO"/>
        </w:rPr>
      </w:pPr>
    </w:p>
    <w:sectPr w:rsidR="00D94385" w:rsidRPr="00701E36" w:rsidSect="00701E36">
      <w:pgSz w:w="11906" w:h="16838"/>
      <w:pgMar w:top="1440" w:right="144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6063"/>
    <w:rsid w:val="001D6DA1"/>
    <w:rsid w:val="0020662D"/>
    <w:rsid w:val="00276FDC"/>
    <w:rsid w:val="002E2BE9"/>
    <w:rsid w:val="002E58EF"/>
    <w:rsid w:val="00415287"/>
    <w:rsid w:val="004A058F"/>
    <w:rsid w:val="00592B7E"/>
    <w:rsid w:val="005F6436"/>
    <w:rsid w:val="00701E36"/>
    <w:rsid w:val="00703E50"/>
    <w:rsid w:val="008A79A7"/>
    <w:rsid w:val="00BE23A7"/>
    <w:rsid w:val="00C42496"/>
    <w:rsid w:val="00C62C9A"/>
    <w:rsid w:val="00C81CD4"/>
    <w:rsid w:val="00C84738"/>
    <w:rsid w:val="00D94385"/>
    <w:rsid w:val="00E26C15"/>
    <w:rsid w:val="00F56C69"/>
    <w:rsid w:val="00F71DC6"/>
    <w:rsid w:val="00FE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D9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943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DC22ADC5C30A4998DE5D475AF67D14" ma:contentTypeVersion="0" ma:contentTypeDescription="إنشاء مستند جديد." ma:contentTypeScope="" ma:versionID="b98365e626d38df4a8ba13eec8bb65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DAA96-4C12-4E76-B346-E1DC140B5B3E}"/>
</file>

<file path=customXml/itemProps2.xml><?xml version="1.0" encoding="utf-8"?>
<ds:datastoreItem xmlns:ds="http://schemas.openxmlformats.org/officeDocument/2006/customXml" ds:itemID="{18D2205F-A828-436D-998C-A5889ACAF25B}"/>
</file>

<file path=customXml/itemProps3.xml><?xml version="1.0" encoding="utf-8"?>
<ds:datastoreItem xmlns:ds="http://schemas.openxmlformats.org/officeDocument/2006/customXml" ds:itemID="{F447A30D-57F6-4024-A7A0-31CACD405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aabu</dc:creator>
  <cp:lastModifiedBy>samar</cp:lastModifiedBy>
  <cp:revision>3</cp:revision>
  <cp:lastPrinted>2019-12-29T11:10:00Z</cp:lastPrinted>
  <dcterms:created xsi:type="dcterms:W3CDTF">2019-12-31T06:31:00Z</dcterms:created>
  <dcterms:modified xsi:type="dcterms:W3CDTF">2019-12-31T06:32:00Z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0x0101004DDC22ADC5C30A4998DE5D475AF67D14</vt:lpwstr>
  </property>
</Properties>
</file>